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5A5" w:rsidRPr="00364076" w:rsidRDefault="001B75A5" w:rsidP="001B75A5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1B75A5" w:rsidRPr="0081442C" w:rsidRDefault="00335AF4" w:rsidP="001B75A5">
      <w:pPr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16A339A0" wp14:editId="0EE6630E">
            <wp:extent cx="2971800" cy="1809750"/>
            <wp:effectExtent l="0" t="0" r="0" b="0"/>
            <wp:docPr id="4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1B75A5" w:rsidRDefault="00275781" w:rsidP="001B75A5">
      <w:pPr>
        <w:spacing w:after="0" w:line="360" w:lineRule="auto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b/>
          <w:sz w:val="16"/>
          <w:szCs w:val="16"/>
        </w:rPr>
        <w:t>Fig</w:t>
      </w:r>
      <w:r>
        <w:rPr>
          <w:rFonts w:ascii="Arial" w:hAnsi="Arial" w:cs="Arial"/>
          <w:b/>
          <w:sz w:val="16"/>
          <w:szCs w:val="16"/>
          <w:lang w:val="en-US"/>
        </w:rPr>
        <w:t>ure</w:t>
      </w:r>
      <w:r w:rsidR="001B75A5">
        <w:rPr>
          <w:rFonts w:ascii="Arial" w:hAnsi="Arial" w:cs="Arial"/>
          <w:b/>
          <w:sz w:val="16"/>
          <w:szCs w:val="16"/>
        </w:rPr>
        <w:t xml:space="preserve"> 4. </w:t>
      </w:r>
      <w:r w:rsidR="001B75A5">
        <w:rPr>
          <w:rFonts w:ascii="Arial" w:hAnsi="Arial" w:cs="Arial"/>
          <w:sz w:val="16"/>
          <w:szCs w:val="16"/>
        </w:rPr>
        <w:t>Absorbance of the extracted ternary Co-PAR-</w:t>
      </w:r>
      <w:r w:rsidR="001B75A5" w:rsidRPr="00364076">
        <w:rPr>
          <w:rFonts w:ascii="Arial" w:hAnsi="Arial" w:cs="Arial"/>
          <w:sz w:val="16"/>
          <w:szCs w:val="16"/>
        </w:rPr>
        <w:t xml:space="preserve"> </w:t>
      </w:r>
      <w:r w:rsidR="001B75A5">
        <w:rPr>
          <w:rFonts w:ascii="Arial" w:hAnsi="Arial" w:cs="Arial"/>
          <w:sz w:val="16"/>
          <w:szCs w:val="16"/>
        </w:rPr>
        <w:t>TS</w:t>
      </w:r>
    </w:p>
    <w:p w:rsidR="001B75A5" w:rsidRPr="00364076" w:rsidRDefault="001B75A5" w:rsidP="001B75A5">
      <w:pPr>
        <w:spacing w:after="0" w:line="360" w:lineRule="auto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</w:rPr>
        <w:t>complexes  vs. concentration of the PAR plots</w:t>
      </w:r>
      <w:r>
        <w:rPr>
          <w:rFonts w:ascii="Arial" w:hAnsi="Arial" w:cs="Arial"/>
          <w:sz w:val="16"/>
          <w:szCs w:val="16"/>
          <w:lang w:val="en-US"/>
        </w:rPr>
        <w:t>:</w:t>
      </w:r>
    </w:p>
    <w:p w:rsidR="001B75A5" w:rsidRDefault="001B75A5" w:rsidP="001B75A5">
      <w:pPr>
        <w:spacing w:after="0" w:line="360" w:lineRule="auto"/>
        <w:rPr>
          <w:rFonts w:ascii="Arial" w:hAnsi="Arial" w:cs="Arial"/>
          <w:sz w:val="16"/>
          <w:szCs w:val="16"/>
          <w:lang w:val="en-US"/>
        </w:rPr>
      </w:pPr>
      <w:r w:rsidRPr="00C66CC6">
        <w:rPr>
          <w:rFonts w:ascii="Arial" w:hAnsi="Arial" w:cs="Arial"/>
          <w:i/>
          <w:sz w:val="16"/>
          <w:szCs w:val="16"/>
          <w:highlight w:val="yellow"/>
        </w:rPr>
        <w:t>C</w:t>
      </w:r>
      <w:r w:rsidRPr="00C66CC6">
        <w:rPr>
          <w:rFonts w:ascii="Arial" w:hAnsi="Arial" w:cs="Arial"/>
          <w:i/>
          <w:sz w:val="16"/>
          <w:szCs w:val="16"/>
          <w:highlight w:val="yellow"/>
          <w:vertAlign w:val="subscript"/>
        </w:rPr>
        <w:t>Co</w:t>
      </w:r>
      <w:r w:rsidRPr="00C66CC6">
        <w:rPr>
          <w:rFonts w:ascii="Arial" w:hAnsi="Arial" w:cs="Arial"/>
          <w:i/>
          <w:sz w:val="16"/>
          <w:szCs w:val="16"/>
          <w:highlight w:val="yellow"/>
          <w:vertAlign w:val="subscript"/>
          <w:lang w:val="en-US"/>
        </w:rPr>
        <w:t>(II)</w:t>
      </w:r>
      <w:r>
        <w:rPr>
          <w:rFonts w:ascii="Arial" w:hAnsi="Arial" w:cs="Arial"/>
          <w:sz w:val="16"/>
          <w:szCs w:val="16"/>
        </w:rPr>
        <w:t xml:space="preserve"> = 1.7×10</w:t>
      </w:r>
      <w:r>
        <w:rPr>
          <w:rFonts w:ascii="Arial" w:hAnsi="Arial" w:cs="Arial"/>
          <w:sz w:val="16"/>
          <w:szCs w:val="16"/>
          <w:vertAlign w:val="superscript"/>
        </w:rPr>
        <w:t>-5</w:t>
      </w:r>
      <w:r>
        <w:rPr>
          <w:rFonts w:ascii="Arial" w:hAnsi="Arial" w:cs="Arial"/>
          <w:sz w:val="16"/>
          <w:szCs w:val="16"/>
        </w:rPr>
        <w:t xml:space="preserve"> mol L</w:t>
      </w:r>
      <w:r>
        <w:rPr>
          <w:rFonts w:ascii="Arial" w:hAnsi="Arial" w:cs="Arial"/>
          <w:sz w:val="16"/>
          <w:szCs w:val="16"/>
          <w:vertAlign w:val="superscript"/>
        </w:rPr>
        <w:t>-1</w:t>
      </w:r>
      <w:r>
        <w:rPr>
          <w:rFonts w:ascii="Arial" w:hAnsi="Arial" w:cs="Arial"/>
          <w:sz w:val="16"/>
          <w:szCs w:val="16"/>
        </w:rPr>
        <w:t xml:space="preserve">; </w:t>
      </w:r>
      <w:r w:rsidRPr="00C66CC6">
        <w:rPr>
          <w:rFonts w:ascii="Arial" w:hAnsi="Arial" w:cs="Arial"/>
          <w:i/>
          <w:sz w:val="16"/>
          <w:szCs w:val="16"/>
          <w:highlight w:val="yellow"/>
        </w:rPr>
        <w:t>C</w:t>
      </w:r>
      <w:r w:rsidRPr="00C66CC6">
        <w:rPr>
          <w:rFonts w:ascii="Arial" w:hAnsi="Arial" w:cs="Arial"/>
          <w:i/>
          <w:sz w:val="16"/>
          <w:szCs w:val="16"/>
          <w:highlight w:val="yellow"/>
          <w:vertAlign w:val="subscript"/>
        </w:rPr>
        <w:t>MTT</w:t>
      </w:r>
      <w:r>
        <w:rPr>
          <w:rFonts w:ascii="Arial" w:hAnsi="Arial" w:cs="Arial"/>
          <w:sz w:val="16"/>
          <w:szCs w:val="16"/>
        </w:rPr>
        <w:t xml:space="preserve"> = 3.6×10</w:t>
      </w:r>
      <w:r>
        <w:rPr>
          <w:rFonts w:ascii="Arial" w:hAnsi="Arial" w:cs="Arial"/>
          <w:sz w:val="16"/>
          <w:szCs w:val="16"/>
          <w:vertAlign w:val="superscript"/>
        </w:rPr>
        <w:t>-4</w:t>
      </w:r>
      <w:r>
        <w:rPr>
          <w:rFonts w:ascii="Arial" w:hAnsi="Arial" w:cs="Arial"/>
          <w:sz w:val="16"/>
          <w:szCs w:val="16"/>
        </w:rPr>
        <w:t xml:space="preserve"> mol L</w:t>
      </w:r>
      <w:r>
        <w:rPr>
          <w:rFonts w:ascii="Arial" w:hAnsi="Arial" w:cs="Arial"/>
          <w:sz w:val="16"/>
          <w:szCs w:val="16"/>
          <w:vertAlign w:val="superscript"/>
        </w:rPr>
        <w:t>-1</w:t>
      </w:r>
      <w:r>
        <w:rPr>
          <w:rFonts w:ascii="Arial" w:hAnsi="Arial" w:cs="Arial"/>
          <w:sz w:val="16"/>
          <w:szCs w:val="16"/>
        </w:rPr>
        <w:t>;</w:t>
      </w:r>
    </w:p>
    <w:p w:rsidR="001B75A5" w:rsidRDefault="001B75A5" w:rsidP="001B75A5">
      <w:pPr>
        <w:spacing w:after="0" w:line="360" w:lineRule="auto"/>
        <w:rPr>
          <w:rFonts w:ascii="Arial" w:hAnsi="Arial" w:cs="Arial"/>
          <w:sz w:val="16"/>
          <w:szCs w:val="16"/>
          <w:lang w:val="en-US"/>
        </w:rPr>
      </w:pPr>
      <w:r w:rsidRPr="00C66CC6">
        <w:rPr>
          <w:rFonts w:ascii="Arial" w:hAnsi="Arial" w:cs="Arial"/>
          <w:i/>
          <w:sz w:val="16"/>
          <w:szCs w:val="16"/>
          <w:highlight w:val="yellow"/>
        </w:rPr>
        <w:t>C</w:t>
      </w:r>
      <w:r w:rsidRPr="00C66CC6">
        <w:rPr>
          <w:rFonts w:ascii="Arial" w:hAnsi="Arial" w:cs="Arial"/>
          <w:i/>
          <w:sz w:val="16"/>
          <w:szCs w:val="16"/>
          <w:highlight w:val="yellow"/>
          <w:vertAlign w:val="subscript"/>
        </w:rPr>
        <w:t>TV</w:t>
      </w:r>
      <w:bookmarkStart w:id="0" w:name="_GoBack"/>
      <w:bookmarkEnd w:id="0"/>
      <w:r>
        <w:rPr>
          <w:rFonts w:ascii="Arial" w:hAnsi="Arial" w:cs="Arial"/>
          <w:sz w:val="16"/>
          <w:szCs w:val="16"/>
        </w:rPr>
        <w:t xml:space="preserve"> = 3.0×10</w:t>
      </w:r>
      <w:r>
        <w:rPr>
          <w:rFonts w:ascii="Arial" w:hAnsi="Arial" w:cs="Arial"/>
          <w:sz w:val="16"/>
          <w:szCs w:val="16"/>
          <w:vertAlign w:val="superscript"/>
        </w:rPr>
        <w:t>-4</w:t>
      </w:r>
      <w:r>
        <w:rPr>
          <w:rFonts w:ascii="Arial" w:hAnsi="Arial" w:cs="Arial"/>
          <w:sz w:val="16"/>
          <w:szCs w:val="16"/>
        </w:rPr>
        <w:t xml:space="preserve"> mol L</w:t>
      </w:r>
      <w:r>
        <w:rPr>
          <w:rFonts w:ascii="Arial" w:hAnsi="Arial" w:cs="Arial"/>
          <w:sz w:val="16"/>
          <w:szCs w:val="16"/>
          <w:vertAlign w:val="superscript"/>
        </w:rPr>
        <w:t>-1</w:t>
      </w:r>
    </w:p>
    <w:p w:rsidR="005C1CB0" w:rsidRDefault="005C1CB0"/>
    <w:sectPr w:rsidR="005C1CB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5A5"/>
    <w:rsid w:val="001B75A5"/>
    <w:rsid w:val="00275781"/>
    <w:rsid w:val="00335AF4"/>
    <w:rsid w:val="005C1CB0"/>
    <w:rsid w:val="00C66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75A5"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B75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75A5"/>
    <w:rPr>
      <w:rFonts w:ascii="Tahoma" w:hAnsi="Tahoma" w:cs="Tahoma"/>
      <w:sz w:val="16"/>
      <w:szCs w:val="16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75A5"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B75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75A5"/>
    <w:rPr>
      <w:rFonts w:ascii="Tahoma" w:hAnsi="Tahoma" w:cs="Tahoma"/>
      <w:sz w:val="16"/>
      <w:szCs w:val="16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21845755581922122"/>
          <c:y val="5.7992567105582392E-2"/>
          <c:w val="0.73688437983713573"/>
          <c:h val="0.74402378201727348"/>
        </c:manualLayout>
      </c:layout>
      <c:scatterChart>
        <c:scatterStyle val="lineMarker"/>
        <c:varyColors val="0"/>
        <c:ser>
          <c:idx val="0"/>
          <c:order val="0"/>
          <c:tx>
            <c:strRef>
              <c:f>'PAR(TS) насищане'!$B$1</c:f>
              <c:strCache>
                <c:ptCount val="1"/>
                <c:pt idx="0">
                  <c:v>(1) Co-PAR-MTT</c:v>
                </c:pt>
              </c:strCache>
            </c:strRef>
          </c:tx>
          <c:spPr>
            <a:ln w="28575">
              <a:noFill/>
            </a:ln>
          </c:spPr>
          <c:marker>
            <c:symbol val="diamond"/>
            <c:size val="4"/>
          </c:marker>
          <c:xVal>
            <c:numRef>
              <c:f>'PAR(TS) насищане'!$A$2:$A$16</c:f>
              <c:numCache>
                <c:formatCode>General</c:formatCode>
                <c:ptCount val="15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10</c:v>
                </c:pt>
                <c:pt idx="9">
                  <c:v>12</c:v>
                </c:pt>
                <c:pt idx="10">
                  <c:v>14</c:v>
                </c:pt>
                <c:pt idx="11">
                  <c:v>16</c:v>
                </c:pt>
                <c:pt idx="12">
                  <c:v>20</c:v>
                </c:pt>
                <c:pt idx="13">
                  <c:v>22</c:v>
                </c:pt>
                <c:pt idx="14">
                  <c:v>24</c:v>
                </c:pt>
              </c:numCache>
            </c:numRef>
          </c:xVal>
          <c:yVal>
            <c:numRef>
              <c:f>'PAR(TS) насищане'!$B$2:$B$16</c:f>
              <c:numCache>
                <c:formatCode>General</c:formatCode>
                <c:ptCount val="15"/>
                <c:pt idx="0">
                  <c:v>0.192</c:v>
                </c:pt>
                <c:pt idx="1">
                  <c:v>0.32100000000000001</c:v>
                </c:pt>
                <c:pt idx="2">
                  <c:v>0.432</c:v>
                </c:pt>
                <c:pt idx="3">
                  <c:v>0.57499999999999996</c:v>
                </c:pt>
                <c:pt idx="4">
                  <c:v>0.74099999999999999</c:v>
                </c:pt>
                <c:pt idx="5">
                  <c:v>0.89300000000000002</c:v>
                </c:pt>
                <c:pt idx="6">
                  <c:v>0.91800000000000004</c:v>
                </c:pt>
                <c:pt idx="7">
                  <c:v>0.93700000000000006</c:v>
                </c:pt>
                <c:pt idx="8">
                  <c:v>0.95199999999999996</c:v>
                </c:pt>
                <c:pt idx="9">
                  <c:v>0.94</c:v>
                </c:pt>
                <c:pt idx="10">
                  <c:v>0.93500000000000005</c:v>
                </c:pt>
                <c:pt idx="11">
                  <c:v>0.95</c:v>
                </c:pt>
                <c:pt idx="12">
                  <c:v>0.94899999999999995</c:v>
                </c:pt>
                <c:pt idx="13">
                  <c:v>0.95499999999999996</c:v>
                </c:pt>
                <c:pt idx="14">
                  <c:v>0.94599999999999995</c:v>
                </c:pt>
              </c:numCache>
            </c:numRef>
          </c:yVal>
          <c:smooth val="0"/>
        </c:ser>
        <c:ser>
          <c:idx val="1"/>
          <c:order val="1"/>
          <c:tx>
            <c:strRef>
              <c:f>'PAR(TS) насищане'!$C$1</c:f>
              <c:strCache>
                <c:ptCount val="1"/>
                <c:pt idx="0">
                  <c:v>(2) Co-PAR-TV</c:v>
                </c:pt>
              </c:strCache>
            </c:strRef>
          </c:tx>
          <c:spPr>
            <a:ln w="28575">
              <a:noFill/>
            </a:ln>
          </c:spPr>
          <c:marker>
            <c:symbol val="square"/>
            <c:size val="3"/>
            <c:spPr>
              <a:solidFill>
                <a:srgbClr val="FF0000"/>
              </a:solidFill>
              <a:ln>
                <a:noFill/>
              </a:ln>
            </c:spPr>
          </c:marker>
          <c:xVal>
            <c:numRef>
              <c:f>'PAR(TS) насищане'!$A$2:$A$16</c:f>
              <c:numCache>
                <c:formatCode>General</c:formatCode>
                <c:ptCount val="15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10</c:v>
                </c:pt>
                <c:pt idx="9">
                  <c:v>12</c:v>
                </c:pt>
                <c:pt idx="10">
                  <c:v>14</c:v>
                </c:pt>
                <c:pt idx="11">
                  <c:v>16</c:v>
                </c:pt>
                <c:pt idx="12">
                  <c:v>20</c:v>
                </c:pt>
                <c:pt idx="13">
                  <c:v>22</c:v>
                </c:pt>
                <c:pt idx="14">
                  <c:v>24</c:v>
                </c:pt>
              </c:numCache>
            </c:numRef>
          </c:xVal>
          <c:yVal>
            <c:numRef>
              <c:f>'PAR(TS) насищане'!$C$2:$C$16</c:f>
              <c:numCache>
                <c:formatCode>General</c:formatCode>
                <c:ptCount val="15"/>
                <c:pt idx="0">
                  <c:v>0.14799999999999999</c:v>
                </c:pt>
                <c:pt idx="1">
                  <c:v>0.27300000000000002</c:v>
                </c:pt>
                <c:pt idx="2">
                  <c:v>0.39300000000000002</c:v>
                </c:pt>
                <c:pt idx="3">
                  <c:v>0.51700000000000002</c:v>
                </c:pt>
                <c:pt idx="4">
                  <c:v>0.66</c:v>
                </c:pt>
                <c:pt idx="5">
                  <c:v>0.76900000000000002</c:v>
                </c:pt>
                <c:pt idx="6">
                  <c:v>0.85499999999999998</c:v>
                </c:pt>
                <c:pt idx="7">
                  <c:v>0.92200000000000004</c:v>
                </c:pt>
                <c:pt idx="8">
                  <c:v>0.94299999999999995</c:v>
                </c:pt>
                <c:pt idx="9">
                  <c:v>0.97599999999999998</c:v>
                </c:pt>
                <c:pt idx="10">
                  <c:v>0.97799999999999998</c:v>
                </c:pt>
                <c:pt idx="11">
                  <c:v>0.97599999999999998</c:v>
                </c:pt>
                <c:pt idx="12">
                  <c:v>0.96399999999999997</c:v>
                </c:pt>
                <c:pt idx="13">
                  <c:v>0.97599999999999998</c:v>
                </c:pt>
                <c:pt idx="14">
                  <c:v>0.96599999999999997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34808064"/>
        <c:axId val="234810368"/>
      </c:scatterChart>
      <c:valAx>
        <c:axId val="234808064"/>
        <c:scaling>
          <c:orientation val="minMax"/>
          <c:max val="30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 i="1"/>
                  <a:t>C</a:t>
                </a:r>
                <a:r>
                  <a:rPr lang="en-US" i="1" baseline="-25000"/>
                  <a:t>PAR</a:t>
                </a:r>
                <a:r>
                  <a:rPr lang="en-US"/>
                  <a:t>×10</a:t>
                </a:r>
                <a:r>
                  <a:rPr lang="en-US" baseline="30000"/>
                  <a:t>-5</a:t>
                </a:r>
                <a:r>
                  <a:rPr lang="en-US"/>
                  <a:t>,</a:t>
                </a:r>
                <a:r>
                  <a:rPr lang="en-US" baseline="0"/>
                  <a:t> </a:t>
                </a:r>
                <a:r>
                  <a:rPr lang="en-US"/>
                  <a:t>mol</a:t>
                </a:r>
                <a:r>
                  <a:rPr lang="en-US" baseline="0"/>
                  <a:t> L</a:t>
                </a:r>
                <a:r>
                  <a:rPr lang="en-US" baseline="30000"/>
                  <a:t>-1</a:t>
                </a:r>
                <a:endParaRPr lang="en-US"/>
              </a:p>
            </c:rich>
          </c:tx>
          <c:layout>
            <c:manualLayout>
              <c:xMode val="edge"/>
              <c:yMode val="edge"/>
              <c:x val="0.3839121071404536"/>
              <c:y val="0.91442077635032459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234810368"/>
        <c:crosses val="autoZero"/>
        <c:crossBetween val="midCat"/>
      </c:valAx>
      <c:valAx>
        <c:axId val="234810368"/>
        <c:scaling>
          <c:orientation val="minMax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Absorbance</a:t>
                </a:r>
              </a:p>
            </c:rich>
          </c:tx>
          <c:layout>
            <c:manualLayout>
              <c:xMode val="edge"/>
              <c:yMode val="edge"/>
              <c:x val="2.0727717254521274E-3"/>
              <c:y val="0.22236054703688354"/>
            </c:manualLayout>
          </c:layout>
          <c:overlay val="0"/>
        </c:title>
        <c:numFmt formatCode="#,##0.00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234808064"/>
        <c:crosses val="autoZero"/>
        <c:crossBetween val="midCat"/>
      </c:valAx>
      <c:spPr>
        <a:ln>
          <a:solidFill>
            <a:schemeClr val="tx1"/>
          </a:solidFill>
        </a:ln>
      </c:spPr>
    </c:plotArea>
    <c:legend>
      <c:legendPos val="r"/>
      <c:layout>
        <c:manualLayout>
          <c:xMode val="edge"/>
          <c:yMode val="edge"/>
          <c:x val="0.5922248588789415"/>
          <c:y val="0.63009365934521344"/>
          <c:w val="0.34743393377197712"/>
          <c:h val="0.13816930617834047"/>
        </c:manualLayout>
      </c:layout>
      <c:overlay val="0"/>
      <c:txPr>
        <a:bodyPr/>
        <a:lstStyle/>
        <a:p>
          <a:pPr>
            <a:defRPr sz="800"/>
          </a:pPr>
          <a:endParaRPr lang="en-US"/>
        </a:p>
      </c:tx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en-US"/>
    </a:p>
  </c:tx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0.21795</cdr:x>
      <cdr:y>0.18947</cdr:y>
    </cdr:from>
    <cdr:to>
      <cdr:x>0.79452</cdr:x>
      <cdr:y>0.8</cdr:y>
    </cdr:to>
    <cdr:sp macro="" textlink="">
      <cdr:nvSpPr>
        <cdr:cNvPr id="5" name="Freeform 4"/>
        <cdr:cNvSpPr/>
      </cdr:nvSpPr>
      <cdr:spPr>
        <a:xfrm xmlns:a="http://schemas.openxmlformats.org/drawingml/2006/main">
          <a:off x="647700" y="342893"/>
          <a:ext cx="1713455" cy="1104907"/>
        </a:xfrm>
        <a:custGeom xmlns:a="http://schemas.openxmlformats.org/drawingml/2006/main">
          <a:avLst/>
          <a:gdLst>
            <a:gd name="connsiteX0" fmla="*/ 0 w 2828925"/>
            <a:gd name="connsiteY0" fmla="*/ 2124075 h 2124075"/>
            <a:gd name="connsiteX1" fmla="*/ 447675 w 2828925"/>
            <a:gd name="connsiteY1" fmla="*/ 1000125 h 2124075"/>
            <a:gd name="connsiteX2" fmla="*/ 819150 w 2828925"/>
            <a:gd name="connsiteY2" fmla="*/ 257175 h 2124075"/>
            <a:gd name="connsiteX3" fmla="*/ 1171575 w 2828925"/>
            <a:gd name="connsiteY3" fmla="*/ 57150 h 2124075"/>
            <a:gd name="connsiteX4" fmla="*/ 1628775 w 2828925"/>
            <a:gd name="connsiteY4" fmla="*/ 0 h 2124075"/>
            <a:gd name="connsiteX5" fmla="*/ 2828925 w 2828925"/>
            <a:gd name="connsiteY5" fmla="*/ 19050 h 2124075"/>
          </a:gdLst>
          <a:ahLst/>
          <a:cxnLst>
            <a:cxn ang="0">
              <a:pos x="connsiteX0" y="connsiteY0"/>
            </a:cxn>
            <a:cxn ang="0">
              <a:pos x="connsiteX1" y="connsiteY1"/>
            </a:cxn>
            <a:cxn ang="0">
              <a:pos x="connsiteX2" y="connsiteY2"/>
            </a:cxn>
            <a:cxn ang="0">
              <a:pos x="connsiteX3" y="connsiteY3"/>
            </a:cxn>
            <a:cxn ang="0">
              <a:pos x="connsiteX4" y="connsiteY4"/>
            </a:cxn>
            <a:cxn ang="0">
              <a:pos x="connsiteX5" y="connsiteY5"/>
            </a:cxn>
          </a:cxnLst>
          <a:rect l="l" t="t" r="r" b="b"/>
          <a:pathLst>
            <a:path w="2828925" h="2124075">
              <a:moveTo>
                <a:pt x="0" y="2124075"/>
              </a:moveTo>
              <a:cubicBezTo>
                <a:pt x="155575" y="1717675"/>
                <a:pt x="311150" y="1311275"/>
                <a:pt x="447675" y="1000125"/>
              </a:cubicBezTo>
              <a:cubicBezTo>
                <a:pt x="584200" y="688975"/>
                <a:pt x="698500" y="414337"/>
                <a:pt x="819150" y="257175"/>
              </a:cubicBezTo>
              <a:cubicBezTo>
                <a:pt x="939800" y="100012"/>
                <a:pt x="1036638" y="100012"/>
                <a:pt x="1171575" y="57150"/>
              </a:cubicBezTo>
              <a:cubicBezTo>
                <a:pt x="1306513" y="14287"/>
                <a:pt x="1628775" y="0"/>
                <a:pt x="1628775" y="0"/>
              </a:cubicBezTo>
              <a:lnTo>
                <a:pt x="2828925" y="19050"/>
              </a:lnTo>
            </a:path>
          </a:pathLst>
        </a:custGeom>
        <a:ln xmlns:a="http://schemas.openxmlformats.org/drawingml/2006/main">
          <a:solidFill>
            <a:srgbClr val="FF0000"/>
          </a:solidFill>
        </a:ln>
      </cdr:spPr>
      <cdr:style>
        <a:lnRef xmlns:a="http://schemas.openxmlformats.org/drawingml/2006/main" idx="1">
          <a:schemeClr val="accent2"/>
        </a:lnRef>
        <a:fillRef xmlns:a="http://schemas.openxmlformats.org/drawingml/2006/main" idx="0">
          <a:schemeClr val="accent2"/>
        </a:fillRef>
        <a:effectRef xmlns:a="http://schemas.openxmlformats.org/drawingml/2006/main" idx="0">
          <a:schemeClr val="accent2"/>
        </a:effectRef>
        <a:fontRef xmlns:a="http://schemas.openxmlformats.org/drawingml/2006/main" idx="minor">
          <a:schemeClr val="tx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endParaRPr lang="bg-BG"/>
        </a:p>
      </cdr:txBody>
    </cdr:sp>
  </cdr:relSizeAnchor>
  <cdr:relSizeAnchor xmlns:cdr="http://schemas.openxmlformats.org/drawingml/2006/chartDrawing">
    <cdr:from>
      <cdr:x>0.21154</cdr:x>
      <cdr:y>0.21053</cdr:y>
    </cdr:from>
    <cdr:to>
      <cdr:x>0.80822</cdr:x>
      <cdr:y>0.82632</cdr:y>
    </cdr:to>
    <cdr:sp macro="" textlink="">
      <cdr:nvSpPr>
        <cdr:cNvPr id="8" name="Freeform 7"/>
        <cdr:cNvSpPr/>
      </cdr:nvSpPr>
      <cdr:spPr>
        <a:xfrm xmlns:a="http://schemas.openxmlformats.org/drawingml/2006/main">
          <a:off x="628650" y="381007"/>
          <a:ext cx="1773218" cy="1114418"/>
        </a:xfrm>
        <a:custGeom xmlns:a="http://schemas.openxmlformats.org/drawingml/2006/main">
          <a:avLst/>
          <a:gdLst>
            <a:gd name="connsiteX0" fmla="*/ 0 w 2838450"/>
            <a:gd name="connsiteY0" fmla="*/ 2076979 h 2076979"/>
            <a:gd name="connsiteX1" fmla="*/ 447675 w 2838450"/>
            <a:gd name="connsiteY1" fmla="*/ 848254 h 2076979"/>
            <a:gd name="connsiteX2" fmla="*/ 723900 w 2838450"/>
            <a:gd name="connsiteY2" fmla="*/ 171979 h 2076979"/>
            <a:gd name="connsiteX3" fmla="*/ 1162050 w 2838450"/>
            <a:gd name="connsiteY3" fmla="*/ 10054 h 2076979"/>
            <a:gd name="connsiteX4" fmla="*/ 2343150 w 2838450"/>
            <a:gd name="connsiteY4" fmla="*/ 19579 h 2076979"/>
            <a:gd name="connsiteX5" fmla="*/ 2838450 w 2838450"/>
            <a:gd name="connsiteY5" fmla="*/ 38629 h 2076979"/>
          </a:gdLst>
          <a:ahLst/>
          <a:cxnLst>
            <a:cxn ang="0">
              <a:pos x="connsiteX0" y="connsiteY0"/>
            </a:cxn>
            <a:cxn ang="0">
              <a:pos x="connsiteX1" y="connsiteY1"/>
            </a:cxn>
            <a:cxn ang="0">
              <a:pos x="connsiteX2" y="connsiteY2"/>
            </a:cxn>
            <a:cxn ang="0">
              <a:pos x="connsiteX3" y="connsiteY3"/>
            </a:cxn>
            <a:cxn ang="0">
              <a:pos x="connsiteX4" y="connsiteY4"/>
            </a:cxn>
            <a:cxn ang="0">
              <a:pos x="connsiteX5" y="connsiteY5"/>
            </a:cxn>
          </a:cxnLst>
          <a:rect l="l" t="t" r="r" b="b"/>
          <a:pathLst>
            <a:path w="2838450" h="2076979">
              <a:moveTo>
                <a:pt x="0" y="2076979"/>
              </a:moveTo>
              <a:cubicBezTo>
                <a:pt x="163512" y="1621366"/>
                <a:pt x="327025" y="1165754"/>
                <a:pt x="447675" y="848254"/>
              </a:cubicBezTo>
              <a:cubicBezTo>
                <a:pt x="568325" y="530754"/>
                <a:pt x="604838" y="311679"/>
                <a:pt x="723900" y="171979"/>
              </a:cubicBezTo>
              <a:cubicBezTo>
                <a:pt x="842962" y="32279"/>
                <a:pt x="892175" y="35454"/>
                <a:pt x="1162050" y="10054"/>
              </a:cubicBezTo>
              <a:cubicBezTo>
                <a:pt x="1431925" y="-15346"/>
                <a:pt x="2063750" y="14817"/>
                <a:pt x="2343150" y="19579"/>
              </a:cubicBezTo>
              <a:cubicBezTo>
                <a:pt x="2622550" y="24341"/>
                <a:pt x="2730500" y="31485"/>
                <a:pt x="2838450" y="38629"/>
              </a:cubicBezTo>
            </a:path>
          </a:pathLst>
        </a:custGeom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endParaRPr lang="bg-BG"/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Vania</dc:creator>
  <cp:lastModifiedBy>Vania</cp:lastModifiedBy>
  <cp:revision>4</cp:revision>
  <dcterms:created xsi:type="dcterms:W3CDTF">2014-03-13T11:24:00Z</dcterms:created>
  <dcterms:modified xsi:type="dcterms:W3CDTF">2014-06-10T09:38:00Z</dcterms:modified>
</cp:coreProperties>
</file>